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12C15" w14:textId="77777777" w:rsidR="00FE067E" w:rsidRPr="00E732F3" w:rsidRDefault="003C6034" w:rsidP="00CC1F3B">
      <w:pPr>
        <w:pStyle w:val="TitlePageOrigin"/>
        <w:rPr>
          <w:color w:val="auto"/>
        </w:rPr>
      </w:pPr>
      <w:r w:rsidRPr="00E732F3">
        <w:rPr>
          <w:caps w:val="0"/>
          <w:color w:val="auto"/>
        </w:rPr>
        <w:t>WEST VIRGINIA LEGISLATURE</w:t>
      </w:r>
    </w:p>
    <w:p w14:paraId="2C04F194" w14:textId="054CCAC8" w:rsidR="00CD36CF" w:rsidRPr="00E732F3" w:rsidRDefault="00CD36CF" w:rsidP="00CC1F3B">
      <w:pPr>
        <w:pStyle w:val="TitlePageSession"/>
        <w:rPr>
          <w:color w:val="auto"/>
        </w:rPr>
      </w:pPr>
      <w:r w:rsidRPr="00E732F3">
        <w:rPr>
          <w:color w:val="auto"/>
        </w:rPr>
        <w:t>20</w:t>
      </w:r>
      <w:r w:rsidR="00EC5E63" w:rsidRPr="00E732F3">
        <w:rPr>
          <w:color w:val="auto"/>
        </w:rPr>
        <w:t>2</w:t>
      </w:r>
      <w:r w:rsidR="00D1620E" w:rsidRPr="00E732F3">
        <w:rPr>
          <w:color w:val="auto"/>
        </w:rPr>
        <w:t>5</w:t>
      </w:r>
      <w:r w:rsidRPr="00E732F3">
        <w:rPr>
          <w:color w:val="auto"/>
        </w:rPr>
        <w:t xml:space="preserve"> </w:t>
      </w:r>
      <w:r w:rsidR="003C6034" w:rsidRPr="00E732F3">
        <w:rPr>
          <w:caps w:val="0"/>
          <w:color w:val="auto"/>
        </w:rPr>
        <w:t>REGULAR SESSION</w:t>
      </w:r>
    </w:p>
    <w:p w14:paraId="54B48D56" w14:textId="01F42B73" w:rsidR="00CD36CF" w:rsidRPr="00E732F3" w:rsidRDefault="0071488B" w:rsidP="00CC1F3B">
      <w:pPr>
        <w:pStyle w:val="TitlePageBillPrefix"/>
        <w:rPr>
          <w:color w:val="auto"/>
        </w:rPr>
      </w:pPr>
      <w:sdt>
        <w:sdtPr>
          <w:rPr>
            <w:color w:val="auto"/>
          </w:rPr>
          <w:tag w:val="IntroDate"/>
          <w:id w:val="-1236936958"/>
          <w:placeholder>
            <w:docPart w:val="AD1090B7A42C43709526EFDE9E8D3607"/>
          </w:placeholder>
          <w:text/>
        </w:sdtPr>
        <w:sdtEndPr/>
        <w:sdtContent>
          <w:r w:rsidR="009C5922" w:rsidRPr="00E732F3">
            <w:rPr>
              <w:color w:val="auto"/>
            </w:rPr>
            <w:t>EN</w:t>
          </w:r>
          <w:r w:rsidR="00E732F3" w:rsidRPr="00E732F3">
            <w:rPr>
              <w:color w:val="auto"/>
            </w:rPr>
            <w:t>ROLLED</w:t>
          </w:r>
        </w:sdtContent>
      </w:sdt>
    </w:p>
    <w:p w14:paraId="2D9EFC87" w14:textId="011EB513" w:rsidR="00CD36CF" w:rsidRPr="00E732F3" w:rsidRDefault="0071488B" w:rsidP="00CC1F3B">
      <w:pPr>
        <w:pStyle w:val="BillNumber"/>
        <w:rPr>
          <w:color w:val="auto"/>
        </w:rPr>
      </w:pPr>
      <w:sdt>
        <w:sdtPr>
          <w:rPr>
            <w:color w:val="auto"/>
          </w:rPr>
          <w:tag w:val="Chamber"/>
          <w:id w:val="893011969"/>
          <w:lock w:val="sdtLocked"/>
          <w:placeholder>
            <w:docPart w:val="4A0AA89AA86C4257B9162360A5725CD6"/>
          </w:placeholder>
          <w:dropDownList>
            <w:listItem w:displayText="House" w:value="House"/>
            <w:listItem w:displayText="Senate" w:value="Senate"/>
          </w:dropDownList>
        </w:sdtPr>
        <w:sdtEndPr/>
        <w:sdtContent>
          <w:r w:rsidR="00C33434" w:rsidRPr="00E732F3">
            <w:rPr>
              <w:color w:val="auto"/>
            </w:rPr>
            <w:t>House</w:t>
          </w:r>
        </w:sdtContent>
      </w:sdt>
      <w:r w:rsidR="00303684" w:rsidRPr="00E732F3">
        <w:rPr>
          <w:color w:val="auto"/>
        </w:rPr>
        <w:t xml:space="preserve"> </w:t>
      </w:r>
      <w:r w:rsidR="00CD36CF" w:rsidRPr="00E732F3">
        <w:rPr>
          <w:color w:val="auto"/>
        </w:rPr>
        <w:t xml:space="preserve">Bill </w:t>
      </w:r>
      <w:sdt>
        <w:sdtPr>
          <w:rPr>
            <w:color w:val="auto"/>
          </w:rPr>
          <w:tag w:val="BNum"/>
          <w:id w:val="1645317809"/>
          <w:lock w:val="sdtLocked"/>
          <w:placeholder>
            <w:docPart w:val="3FA9F97D9C1249078EAE6A7F9285E51C"/>
          </w:placeholder>
          <w:text/>
        </w:sdtPr>
        <w:sdtEndPr/>
        <w:sdtContent>
          <w:r w:rsidR="00892DCA" w:rsidRPr="00E732F3">
            <w:rPr>
              <w:color w:val="auto"/>
            </w:rPr>
            <w:t>2511</w:t>
          </w:r>
        </w:sdtContent>
      </w:sdt>
    </w:p>
    <w:p w14:paraId="474A8A2E" w14:textId="252131CC" w:rsidR="00CD36CF" w:rsidRPr="00E732F3" w:rsidRDefault="00CD36CF" w:rsidP="00CC1F3B">
      <w:pPr>
        <w:pStyle w:val="Sponsors"/>
        <w:rPr>
          <w:color w:val="auto"/>
        </w:rPr>
      </w:pPr>
      <w:r w:rsidRPr="00E732F3">
        <w:rPr>
          <w:color w:val="auto"/>
        </w:rPr>
        <w:t xml:space="preserve">By </w:t>
      </w:r>
      <w:sdt>
        <w:sdtPr>
          <w:rPr>
            <w:color w:val="auto"/>
          </w:rPr>
          <w:tag w:val="Sponsors"/>
          <w:id w:val="1589585889"/>
          <w:placeholder>
            <w:docPart w:val="C7F9F848F6BE4348A1679D6E0880B68A"/>
          </w:placeholder>
          <w:text w:multiLine="1"/>
        </w:sdtPr>
        <w:sdtEndPr/>
        <w:sdtContent>
          <w:r w:rsidR="00D1620E" w:rsidRPr="00E732F3">
            <w:rPr>
              <w:color w:val="auto"/>
            </w:rPr>
            <w:t>Delegate</w:t>
          </w:r>
          <w:r w:rsidR="00FE1418" w:rsidRPr="00E732F3">
            <w:rPr>
              <w:color w:val="auto"/>
            </w:rPr>
            <w:t>s</w:t>
          </w:r>
          <w:r w:rsidR="00D1620E" w:rsidRPr="00E732F3">
            <w:rPr>
              <w:color w:val="auto"/>
            </w:rPr>
            <w:t xml:space="preserve"> Linville</w:t>
          </w:r>
          <w:r w:rsidR="00FE1418" w:rsidRPr="00E732F3">
            <w:rPr>
              <w:color w:val="auto"/>
            </w:rPr>
            <w:t xml:space="preserve">, Hillenbrand, Sheedy, Clay, Butler, Hite, Ridenour, D. Smith, </w:t>
          </w:r>
          <w:r w:rsidR="003A2270" w:rsidRPr="00E732F3">
            <w:rPr>
              <w:color w:val="auto"/>
            </w:rPr>
            <w:t xml:space="preserve">and </w:t>
          </w:r>
          <w:r w:rsidR="00FE1418" w:rsidRPr="00E732F3">
            <w:rPr>
              <w:color w:val="auto"/>
            </w:rPr>
            <w:t>Roop</w:t>
          </w:r>
        </w:sdtContent>
      </w:sdt>
    </w:p>
    <w:p w14:paraId="3F2D83AF" w14:textId="3152F603" w:rsidR="009444F5" w:rsidRPr="00E732F3" w:rsidRDefault="00CD36CF" w:rsidP="00CC1F3B">
      <w:pPr>
        <w:pStyle w:val="References"/>
        <w:rPr>
          <w:color w:val="auto"/>
        </w:rPr>
        <w:sectPr w:rsidR="009444F5" w:rsidRPr="00E732F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732F3">
        <w:rPr>
          <w:color w:val="auto"/>
        </w:rPr>
        <w:t>[</w:t>
      </w:r>
      <w:sdt>
        <w:sdtPr>
          <w:rPr>
            <w:color w:val="auto"/>
          </w:rPr>
          <w:tag w:val="References"/>
          <w:id w:val="-1043047873"/>
          <w:placeholder>
            <w:docPart w:val="D749C819F5774727BB3974E11A11C7DA"/>
          </w:placeholder>
          <w:text w:multiLine="1"/>
        </w:sdtPr>
        <w:sdtEndPr/>
        <w:sdtContent>
          <w:r w:rsidR="00E732F3" w:rsidRPr="00E732F3">
            <w:rPr>
              <w:color w:val="auto"/>
            </w:rPr>
            <w:t>Passed April 12, 2025; in effect 90 days from passage (July 11, 2025)</w:t>
          </w:r>
        </w:sdtContent>
      </w:sdt>
      <w:r w:rsidRPr="00E732F3">
        <w:rPr>
          <w:color w:val="auto"/>
        </w:rPr>
        <w:t>]</w:t>
      </w:r>
    </w:p>
    <w:p w14:paraId="11A3D6F6" w14:textId="56B66EDE" w:rsidR="00E831B3" w:rsidRPr="00E732F3" w:rsidRDefault="00E831B3" w:rsidP="00CC1F3B">
      <w:pPr>
        <w:pStyle w:val="References"/>
        <w:rPr>
          <w:color w:val="auto"/>
        </w:rPr>
      </w:pPr>
    </w:p>
    <w:p w14:paraId="557A6372" w14:textId="3F9F0276" w:rsidR="00303684" w:rsidRPr="00E732F3" w:rsidRDefault="0000526A" w:rsidP="009444F5">
      <w:pPr>
        <w:pStyle w:val="TitleSection"/>
        <w:rPr>
          <w:color w:val="auto"/>
        </w:rPr>
      </w:pPr>
      <w:r w:rsidRPr="00E732F3">
        <w:rPr>
          <w:color w:val="auto"/>
        </w:rPr>
        <w:lastRenderedPageBreak/>
        <w:t>A</w:t>
      </w:r>
      <w:r w:rsidR="00E732F3" w:rsidRPr="00E732F3">
        <w:rPr>
          <w:color w:val="auto"/>
        </w:rPr>
        <w:t>N ACT</w:t>
      </w:r>
      <w:r w:rsidR="00D1620E" w:rsidRPr="00E732F3">
        <w:rPr>
          <w:color w:val="auto"/>
        </w:rPr>
        <w:t xml:space="preserve"> </w:t>
      </w:r>
      <w:r w:rsidR="00E732F3" w:rsidRPr="00E732F3">
        <w:rPr>
          <w:color w:val="auto"/>
        </w:rPr>
        <w:t>to amend and reenact §47-20-2 of the Code of West Virginia, 1931 as amended; relating to charitable bingo and alcohol or nonintoxicating beer sales and consumption while such bingo is taking place; adding an exemption for the consumption or sale of alcohol or nonintoxicating beer at bingo games conducted on the premises of a fraternal beneficiary society, domestic fraternal society, veteran’s organization, or volunteer fire department.</w:t>
      </w:r>
    </w:p>
    <w:p w14:paraId="53460293" w14:textId="77777777" w:rsidR="00303684" w:rsidRPr="00E732F3" w:rsidRDefault="00303684" w:rsidP="009444F5">
      <w:pPr>
        <w:pStyle w:val="EnactingClause"/>
        <w:rPr>
          <w:color w:val="auto"/>
        </w:rPr>
      </w:pPr>
      <w:r w:rsidRPr="00E732F3">
        <w:rPr>
          <w:color w:val="auto"/>
        </w:rPr>
        <w:t>Be it enacted by the Legislature of West Virginia:</w:t>
      </w:r>
    </w:p>
    <w:p w14:paraId="3FDDAC66" w14:textId="77777777" w:rsidR="003C6034" w:rsidRPr="00E732F3" w:rsidRDefault="003C6034" w:rsidP="009444F5">
      <w:pPr>
        <w:pStyle w:val="EnactingClause"/>
        <w:rPr>
          <w:color w:val="auto"/>
        </w:rPr>
        <w:sectPr w:rsidR="003C6034" w:rsidRPr="00E732F3" w:rsidSect="009444F5">
          <w:pgSz w:w="12240" w:h="15840" w:code="1"/>
          <w:pgMar w:top="1440" w:right="1440" w:bottom="1440" w:left="1440" w:header="720" w:footer="720" w:gutter="0"/>
          <w:lnNumType w:countBy="1" w:restart="newSection"/>
          <w:pgNumType w:start="0"/>
          <w:cols w:space="720"/>
          <w:titlePg/>
          <w:docGrid w:linePitch="360"/>
        </w:sectPr>
      </w:pPr>
    </w:p>
    <w:p w14:paraId="08C7E0C9" w14:textId="77777777" w:rsidR="00E732F3" w:rsidRPr="00E732F3" w:rsidRDefault="00E732F3" w:rsidP="00E732F3">
      <w:pPr>
        <w:suppressLineNumbers/>
        <w:ind w:left="720" w:hanging="720"/>
        <w:jc w:val="both"/>
        <w:outlineLvl w:val="1"/>
        <w:rPr>
          <w:rFonts w:eastAsia="Calibri" w:cs="Times New Roman"/>
          <w:b/>
          <w:caps/>
          <w:color w:val="auto"/>
          <w:sz w:val="24"/>
        </w:rPr>
        <w:sectPr w:rsidR="00E732F3" w:rsidRPr="00E732F3" w:rsidSect="00E732F3">
          <w:footerReference w:type="default" r:id="rId13"/>
          <w:type w:val="continuous"/>
          <w:pgSz w:w="12240" w:h="15840" w:code="1"/>
          <w:pgMar w:top="1440" w:right="1440" w:bottom="1440" w:left="1440" w:header="720" w:footer="720" w:gutter="0"/>
          <w:lnNumType w:countBy="1" w:restart="newSection"/>
          <w:cols w:space="720"/>
          <w:docGrid w:linePitch="360"/>
        </w:sectPr>
      </w:pPr>
      <w:r w:rsidRPr="00E732F3">
        <w:rPr>
          <w:rFonts w:eastAsia="Calibri" w:cs="Times New Roman"/>
          <w:b/>
          <w:caps/>
          <w:color w:val="auto"/>
          <w:sz w:val="24"/>
        </w:rPr>
        <w:t>ARTICLE 20. CHARITABLE BINGO.</w:t>
      </w:r>
    </w:p>
    <w:p w14:paraId="77072741" w14:textId="77777777" w:rsidR="00E732F3" w:rsidRPr="00E732F3" w:rsidRDefault="00E732F3" w:rsidP="00E732F3">
      <w:pPr>
        <w:suppressLineNumbers/>
        <w:ind w:left="720" w:hanging="720"/>
        <w:jc w:val="both"/>
        <w:outlineLvl w:val="3"/>
        <w:rPr>
          <w:rFonts w:eastAsia="Calibri" w:cs="Times New Roman"/>
          <w:b/>
          <w:color w:val="auto"/>
        </w:rPr>
      </w:pPr>
      <w:r w:rsidRPr="00E732F3">
        <w:rPr>
          <w:rFonts w:eastAsia="Calibri" w:cs="Arial"/>
          <w:b/>
          <w:color w:val="auto"/>
        </w:rPr>
        <w:t>§</w:t>
      </w:r>
      <w:r w:rsidRPr="00E732F3">
        <w:rPr>
          <w:rFonts w:eastAsia="Calibri" w:cs="Times New Roman"/>
          <w:b/>
          <w:color w:val="auto"/>
        </w:rPr>
        <w:t>47-20-2. Definitions.</w:t>
      </w:r>
    </w:p>
    <w:p w14:paraId="6879D735" w14:textId="77777777" w:rsidR="00E732F3" w:rsidRPr="00E732F3" w:rsidRDefault="00E732F3" w:rsidP="00E732F3">
      <w:pPr>
        <w:ind w:firstLine="720"/>
        <w:jc w:val="both"/>
        <w:rPr>
          <w:rFonts w:eastAsia="Calibri" w:cs="Times New Roman"/>
          <w:color w:val="auto"/>
        </w:rPr>
      </w:pPr>
      <w:r w:rsidRPr="00E732F3">
        <w:rPr>
          <w:rFonts w:eastAsia="Calibri" w:cs="Times New Roman"/>
          <w:color w:val="auto"/>
        </w:rPr>
        <w:t>For purposes of this article, unless specified otherwise:</w:t>
      </w:r>
    </w:p>
    <w:p w14:paraId="2541E9FE" w14:textId="77777777" w:rsidR="00E732F3" w:rsidRPr="00E732F3" w:rsidRDefault="00E732F3" w:rsidP="00E732F3">
      <w:pPr>
        <w:ind w:firstLine="720"/>
        <w:jc w:val="both"/>
        <w:rPr>
          <w:rFonts w:eastAsia="Calibri" w:cs="Times New Roman"/>
          <w:color w:val="auto"/>
        </w:rPr>
      </w:pPr>
      <w:r w:rsidRPr="00E732F3">
        <w:rPr>
          <w:rFonts w:eastAsia="Calibri" w:cs="Times New Roman"/>
          <w:color w:val="auto"/>
        </w:rPr>
        <w:t>(a) "Bingo" means the game wherein participants pay consideration for the use of one or more paper or virtual cards bearing several rows of numbers in which no two cards played in any one game contain the same sequence or pattern. When the game commences, numbers are selected by chance, one by one, and announced. The players cover or mark those numbers announced as they appear on the card or cards which they are using. The player who first announces that he or she has covered a predetermined sequence or pattern which had been preannounced for that game is, upon verification that he or she has covered the predetermined sequence or pattern, declared the winner of that game. Bingo, as authorized by this article, may be operated and played virtually over the Internet using an online bingo software system or web application.</w:t>
      </w:r>
    </w:p>
    <w:p w14:paraId="6CBA71AA" w14:textId="77777777" w:rsidR="00E732F3" w:rsidRPr="00E732F3" w:rsidRDefault="00E732F3" w:rsidP="00E732F3">
      <w:pPr>
        <w:ind w:firstLine="720"/>
        <w:jc w:val="both"/>
        <w:rPr>
          <w:rFonts w:eastAsia="Calibri" w:cs="Times New Roman"/>
          <w:color w:val="auto"/>
        </w:rPr>
      </w:pPr>
      <w:r w:rsidRPr="00E732F3">
        <w:rPr>
          <w:rFonts w:eastAsia="Calibri" w:cs="Times New Roman"/>
          <w:color w:val="auto"/>
        </w:rPr>
        <w:t>(b) "Bingo occasion" or "occasion" means a single gathering or session at which a series of one or more successive bingo games is conducted by a single licensee.</w:t>
      </w:r>
    </w:p>
    <w:p w14:paraId="47A77008" w14:textId="77777777" w:rsidR="00E732F3" w:rsidRPr="00E732F3" w:rsidRDefault="00E732F3" w:rsidP="00E732F3">
      <w:pPr>
        <w:ind w:firstLine="720"/>
        <w:jc w:val="both"/>
        <w:rPr>
          <w:rFonts w:eastAsia="Calibri" w:cs="Times New Roman"/>
          <w:color w:val="auto"/>
        </w:rPr>
      </w:pPr>
      <w:r w:rsidRPr="00E732F3">
        <w:rPr>
          <w:rFonts w:eastAsia="Calibri" w:cs="Times New Roman"/>
          <w:color w:val="auto"/>
        </w:rPr>
        <w:t>(c) "Charitable or public service activity or endeavor" means any bona fide activity or endeavor which directly benefits a number of people by:</w:t>
      </w:r>
    </w:p>
    <w:p w14:paraId="7D81C4AF" w14:textId="77777777" w:rsidR="00E732F3" w:rsidRPr="00E732F3" w:rsidRDefault="00E732F3" w:rsidP="00E732F3">
      <w:pPr>
        <w:ind w:firstLine="720"/>
        <w:jc w:val="both"/>
        <w:rPr>
          <w:rFonts w:eastAsia="Calibri" w:cs="Times New Roman"/>
          <w:color w:val="auto"/>
        </w:rPr>
      </w:pPr>
      <w:r w:rsidRPr="00E732F3">
        <w:rPr>
          <w:rFonts w:eastAsia="Calibri" w:cs="Times New Roman"/>
          <w:color w:val="auto"/>
        </w:rPr>
        <w:t xml:space="preserve">(1) Assisting them to establish themselves in life as contributing members of society through education or religion; </w:t>
      </w:r>
    </w:p>
    <w:p w14:paraId="76636F59" w14:textId="77777777" w:rsidR="00E732F3" w:rsidRPr="00E732F3" w:rsidRDefault="00E732F3" w:rsidP="00E732F3">
      <w:pPr>
        <w:ind w:firstLine="720"/>
        <w:jc w:val="both"/>
        <w:rPr>
          <w:rFonts w:eastAsia="Calibri" w:cs="Times New Roman"/>
          <w:color w:val="auto"/>
        </w:rPr>
      </w:pPr>
      <w:r w:rsidRPr="00E732F3">
        <w:rPr>
          <w:rFonts w:eastAsia="Calibri" w:cs="Times New Roman"/>
          <w:color w:val="auto"/>
        </w:rPr>
        <w:t>(2) Relieving them from disease, distress, suffering, constraint, or the effects of poverty;</w:t>
      </w:r>
    </w:p>
    <w:p w14:paraId="5FB39A3F" w14:textId="77777777" w:rsidR="00E732F3" w:rsidRPr="00E732F3" w:rsidRDefault="00E732F3" w:rsidP="00E732F3">
      <w:pPr>
        <w:ind w:firstLine="720"/>
        <w:jc w:val="both"/>
        <w:rPr>
          <w:rFonts w:eastAsia="Calibri" w:cs="Times New Roman"/>
          <w:color w:val="auto"/>
        </w:rPr>
      </w:pPr>
      <w:r w:rsidRPr="00E732F3">
        <w:rPr>
          <w:rFonts w:eastAsia="Calibri" w:cs="Times New Roman"/>
          <w:color w:val="auto"/>
        </w:rPr>
        <w:t>(3) Increasing their comprehension of, and devotion to, the principles upon which this nation was founded and to the principles of good citizenship;</w:t>
      </w:r>
    </w:p>
    <w:p w14:paraId="083158E7" w14:textId="77777777" w:rsidR="00E732F3" w:rsidRPr="00E732F3" w:rsidRDefault="00E732F3" w:rsidP="00E732F3">
      <w:pPr>
        <w:ind w:firstLine="720"/>
        <w:jc w:val="both"/>
        <w:rPr>
          <w:rFonts w:eastAsia="Calibri" w:cs="Times New Roman"/>
          <w:color w:val="auto"/>
        </w:rPr>
      </w:pPr>
      <w:r w:rsidRPr="00E732F3">
        <w:rPr>
          <w:rFonts w:eastAsia="Calibri" w:cs="Times New Roman"/>
          <w:color w:val="auto"/>
        </w:rPr>
        <w:t>(4) Making them aware of, or educating them about, issues of public concern so long as the activity or endeavor is not aimed at influencing legislation or supporting or participating in the campaign of any candidate for public office;</w:t>
      </w:r>
    </w:p>
    <w:p w14:paraId="682C4C9D" w14:textId="77777777" w:rsidR="00E732F3" w:rsidRPr="00E732F3" w:rsidRDefault="00E732F3" w:rsidP="00E732F3">
      <w:pPr>
        <w:ind w:firstLine="720"/>
        <w:jc w:val="both"/>
        <w:rPr>
          <w:rFonts w:eastAsia="Calibri" w:cs="Times New Roman"/>
          <w:color w:val="auto"/>
        </w:rPr>
      </w:pPr>
      <w:r w:rsidRPr="00E732F3">
        <w:rPr>
          <w:rFonts w:eastAsia="Calibri" w:cs="Times New Roman"/>
          <w:color w:val="auto"/>
        </w:rPr>
        <w:t>(5) By lessening the burdens borne by government or voluntarily supporting, augmenting, or supplementing services which government would normally render to the people;</w:t>
      </w:r>
    </w:p>
    <w:p w14:paraId="068413CE" w14:textId="77777777" w:rsidR="00E732F3" w:rsidRPr="00E732F3" w:rsidRDefault="00E732F3" w:rsidP="00E732F3">
      <w:pPr>
        <w:ind w:firstLine="720"/>
        <w:jc w:val="both"/>
        <w:rPr>
          <w:rFonts w:eastAsia="Calibri" w:cs="Times New Roman"/>
          <w:color w:val="auto"/>
        </w:rPr>
      </w:pPr>
      <w:r w:rsidRPr="00E732F3">
        <w:rPr>
          <w:rFonts w:eastAsia="Calibri" w:cs="Times New Roman"/>
          <w:color w:val="auto"/>
        </w:rPr>
        <w:t>(6) Providing or supporting nonprofit community activities for youth, senior citizens, or the disabled; or</w:t>
      </w:r>
    </w:p>
    <w:p w14:paraId="13F8877A" w14:textId="77777777" w:rsidR="00E732F3" w:rsidRPr="00E732F3" w:rsidRDefault="00E732F3" w:rsidP="00E732F3">
      <w:pPr>
        <w:ind w:firstLine="720"/>
        <w:jc w:val="both"/>
        <w:rPr>
          <w:rFonts w:ascii="Aptos" w:eastAsia="Aptos" w:hAnsi="Aptos" w:cs="Times New Roman"/>
          <w:color w:val="auto"/>
          <w:kern w:val="2"/>
          <w14:ligatures w14:val="standardContextual"/>
        </w:rPr>
      </w:pPr>
      <w:r w:rsidRPr="00E732F3">
        <w:rPr>
          <w:rFonts w:ascii="Aptos" w:eastAsia="Aptos" w:hAnsi="Aptos" w:cs="Times New Roman"/>
          <w:color w:val="auto"/>
          <w:kern w:val="2"/>
          <w14:ligatures w14:val="standardContextual"/>
        </w:rPr>
        <w:t>(7) Providing or supporting nonprofit cultural or artistic activities.</w:t>
      </w:r>
    </w:p>
    <w:p w14:paraId="40720B4B" w14:textId="77777777" w:rsidR="00E732F3" w:rsidRPr="00E732F3" w:rsidRDefault="00E732F3" w:rsidP="00E732F3">
      <w:pPr>
        <w:ind w:firstLine="720"/>
        <w:jc w:val="both"/>
        <w:rPr>
          <w:rFonts w:eastAsia="Calibri" w:cs="Times New Roman"/>
          <w:color w:val="auto"/>
        </w:rPr>
      </w:pPr>
      <w:r w:rsidRPr="00E732F3">
        <w:rPr>
          <w:rFonts w:eastAsia="Calibri" w:cs="Times New Roman"/>
          <w:color w:val="auto"/>
        </w:rPr>
        <w:t>(d) "Charitable or public service organization" means a bona fide, not-for-profit, tax-exempt, benevolent, educational, philanthropic, humane, patriotic, civic, religious, fraternal, or eleemosynary incorporated or unincorporated association or organization; or a volunteer fire department, rescue unit, or other similar volunteer community service organization or association; but does not include any nonprofit association or organization, whether incorporated or not, which is organized primarily for the purposes of influencing legislation or supporting or promoting the campaign of any candidate for public office.</w:t>
      </w:r>
    </w:p>
    <w:p w14:paraId="72280A05" w14:textId="77777777" w:rsidR="00E732F3" w:rsidRPr="00E732F3" w:rsidRDefault="00E732F3" w:rsidP="00E732F3">
      <w:pPr>
        <w:ind w:firstLine="720"/>
        <w:jc w:val="both"/>
        <w:rPr>
          <w:rFonts w:eastAsia="Aptos" w:cs="Arial"/>
          <w:color w:val="auto"/>
          <w:kern w:val="2"/>
          <w14:ligatures w14:val="standardContextual"/>
        </w:rPr>
      </w:pPr>
      <w:r w:rsidRPr="00E732F3">
        <w:rPr>
          <w:rFonts w:eastAsia="Aptos" w:cs="Arial"/>
          <w:color w:val="auto"/>
          <w:kern w:val="2"/>
          <w14:ligatures w14:val="standardContextual"/>
        </w:rPr>
        <w:t>An organization or association is tax-exempt if it is, and has received from the Internal Revenue Service a determination letter that is currently in effect stating that the organization is, exempt from federal income taxation under subsection 501(a) and described in subsection 501(c)(3), 501(c)(4), 501(c)(8), 501(c)(10), 501(c)(19), or 501(d) of the Internal Revenue Code.</w:t>
      </w:r>
    </w:p>
    <w:p w14:paraId="0515507D" w14:textId="77777777" w:rsidR="00E732F3" w:rsidRPr="00E732F3" w:rsidRDefault="00E732F3" w:rsidP="00E732F3">
      <w:pPr>
        <w:ind w:firstLine="720"/>
        <w:jc w:val="both"/>
        <w:rPr>
          <w:rFonts w:eastAsia="Calibri" w:cs="Arial"/>
          <w:color w:val="auto"/>
        </w:rPr>
      </w:pPr>
      <w:r w:rsidRPr="00E732F3">
        <w:rPr>
          <w:rFonts w:eastAsia="Calibri" w:cs="Arial"/>
          <w:color w:val="auto"/>
        </w:rPr>
        <w:t>(e) "Commissioner" means the State Tax Commissioner.</w:t>
      </w:r>
    </w:p>
    <w:p w14:paraId="1DBD89D4" w14:textId="77777777" w:rsidR="00E732F3" w:rsidRPr="00E732F3" w:rsidRDefault="00E732F3" w:rsidP="00E732F3">
      <w:pPr>
        <w:ind w:firstLine="720"/>
        <w:jc w:val="both"/>
        <w:rPr>
          <w:rFonts w:eastAsia="Times New Roman" w:cs="Arial"/>
          <w:color w:val="auto"/>
        </w:rPr>
      </w:pPr>
      <w:r w:rsidRPr="00E732F3">
        <w:rPr>
          <w:rFonts w:eastAsia="Calibri" w:cs="Arial"/>
          <w:color w:val="auto"/>
        </w:rPr>
        <w:t xml:space="preserve">(f) "Concession" means any stand, booth, cart, counter, or other facility, whether stationary or movable, where beverages, both alcoholic and nonalcoholic, food, snacks, cigarettes or other tobacco products, newspapers, souvenirs, or any other items are sold to patrons by an individual operating the facility. Notwithstanding anything contained in §60-7-12(a)(2) of this code to the contrary, "concession" includes beverages which are regulated by, and are subject to, the provisions of chapter 60 of this code: </w:t>
      </w:r>
      <w:r w:rsidRPr="00B72020">
        <w:rPr>
          <w:rFonts w:eastAsia="Calibri" w:cs="Arial"/>
          <w:i/>
          <w:color w:val="auto"/>
        </w:rPr>
        <w:t>Provided</w:t>
      </w:r>
      <w:r w:rsidRPr="00E732F3">
        <w:rPr>
          <w:rFonts w:eastAsia="Calibri" w:cs="Arial"/>
          <w:iCs/>
          <w:color w:val="auto"/>
        </w:rPr>
        <w:t>,</w:t>
      </w:r>
      <w:r w:rsidRPr="00E732F3">
        <w:rPr>
          <w:rFonts w:eastAsia="Calibri" w:cs="Arial"/>
          <w:color w:val="auto"/>
        </w:rPr>
        <w:t xml:space="preserve"> That in no case may the sale or the consumption of alcoholic beverages or nonintoxicating beer be permitted in any area where bingo is conducted: </w:t>
      </w:r>
      <w:r w:rsidRPr="00B72020">
        <w:rPr>
          <w:rFonts w:eastAsia="Calibri" w:cs="Arial"/>
          <w:i/>
          <w:iCs/>
          <w:color w:val="auto"/>
        </w:rPr>
        <w:t>Provided</w:t>
      </w:r>
      <w:r w:rsidRPr="00E732F3">
        <w:rPr>
          <w:rFonts w:eastAsia="Calibri" w:cs="Arial"/>
          <w:i/>
          <w:iCs/>
          <w:color w:val="auto"/>
        </w:rPr>
        <w:t xml:space="preserve"> however,</w:t>
      </w:r>
      <w:r w:rsidRPr="00E732F3">
        <w:rPr>
          <w:rFonts w:eastAsia="Calibri" w:cs="Arial"/>
          <w:color w:val="auto"/>
        </w:rPr>
        <w:t xml:space="preserve"> That </w:t>
      </w:r>
      <w:r w:rsidRPr="00E732F3">
        <w:rPr>
          <w:rFonts w:eastAsia="Times New Roman" w:cs="Arial"/>
          <w:color w:val="auto"/>
        </w:rPr>
        <w:t>the sale or the consumption of alcoholic beverages or nonintoxicating beer may be permitted in an area where bingo is conducted on the premises of a fraternal</w:t>
      </w:r>
      <w:r w:rsidRPr="00E732F3">
        <w:rPr>
          <w:rFonts w:eastAsia="Times New Roman" w:cs="Arial"/>
          <w:i/>
          <w:iCs/>
          <w:color w:val="auto"/>
        </w:rPr>
        <w:t xml:space="preserve"> </w:t>
      </w:r>
      <w:r w:rsidRPr="00E732F3">
        <w:rPr>
          <w:rFonts w:eastAsia="Times New Roman" w:cs="Arial"/>
          <w:color w:val="auto"/>
        </w:rPr>
        <w:t xml:space="preserve">society or veteran’s organization that is: </w:t>
      </w:r>
    </w:p>
    <w:p w14:paraId="0B5D4942" w14:textId="77777777" w:rsidR="00E732F3" w:rsidRPr="00E732F3" w:rsidRDefault="00E732F3" w:rsidP="00E732F3">
      <w:pPr>
        <w:ind w:firstLine="720"/>
        <w:jc w:val="both"/>
        <w:rPr>
          <w:rFonts w:eastAsia="Times New Roman" w:cs="Arial"/>
          <w:color w:val="auto"/>
        </w:rPr>
      </w:pPr>
      <w:r w:rsidRPr="00E732F3">
        <w:rPr>
          <w:rFonts w:eastAsia="Times New Roman" w:cs="Arial"/>
          <w:color w:val="auto"/>
        </w:rPr>
        <w:t xml:space="preserve">(1) A fraternal beneficiary society that is exempt from federal income tax under section 501(c)(8) of the Internal Revenue Code of 1986, as amended; </w:t>
      </w:r>
    </w:p>
    <w:p w14:paraId="14D02825" w14:textId="77777777" w:rsidR="00E732F3" w:rsidRPr="00E732F3" w:rsidRDefault="00E732F3" w:rsidP="00E732F3">
      <w:pPr>
        <w:ind w:firstLine="720"/>
        <w:jc w:val="both"/>
        <w:rPr>
          <w:rFonts w:eastAsia="Times New Roman" w:cs="Arial"/>
          <w:color w:val="auto"/>
        </w:rPr>
      </w:pPr>
      <w:r w:rsidRPr="00E732F3">
        <w:rPr>
          <w:rFonts w:eastAsia="Times New Roman" w:cs="Arial"/>
          <w:color w:val="auto"/>
        </w:rPr>
        <w:t xml:space="preserve">(2) A domestic fraternal society that is exempt from federal income tax under section 501(c)(10) of the Internal Revenue Code of 1986, as amended; </w:t>
      </w:r>
    </w:p>
    <w:p w14:paraId="10A0CBA4" w14:textId="77777777" w:rsidR="00E732F3" w:rsidRPr="00E732F3" w:rsidRDefault="00E732F3" w:rsidP="00E732F3">
      <w:pPr>
        <w:ind w:firstLine="720"/>
        <w:jc w:val="both"/>
        <w:rPr>
          <w:rFonts w:eastAsia="Times New Roman" w:cs="Arial"/>
          <w:color w:val="auto"/>
        </w:rPr>
      </w:pPr>
      <w:r w:rsidRPr="00E732F3">
        <w:rPr>
          <w:rFonts w:eastAsia="Times New Roman" w:cs="Arial"/>
          <w:color w:val="auto"/>
        </w:rPr>
        <w:t xml:space="preserve">(3) A veterans’ organization that is exempt from federal income tax under section 501(c)(19) of the Internal Revenue Code of 1986, as amended; or </w:t>
      </w:r>
    </w:p>
    <w:p w14:paraId="03B10EE6" w14:textId="77777777" w:rsidR="00E732F3" w:rsidRPr="00E732F3" w:rsidRDefault="00E732F3" w:rsidP="00E732F3">
      <w:pPr>
        <w:ind w:firstLine="720"/>
        <w:jc w:val="both"/>
        <w:rPr>
          <w:rFonts w:eastAsia="Times New Roman" w:cs="Arial"/>
          <w:color w:val="auto"/>
        </w:rPr>
      </w:pPr>
      <w:r w:rsidRPr="00E732F3">
        <w:rPr>
          <w:rFonts w:eastAsia="Times New Roman" w:cs="Arial"/>
          <w:color w:val="auto"/>
        </w:rPr>
        <w:t>(4) A volunteer fire department, as defined in §11-13JJ-2 of this code.</w:t>
      </w:r>
    </w:p>
    <w:p w14:paraId="3A95497F" w14:textId="77777777" w:rsidR="00E732F3" w:rsidRPr="00E732F3" w:rsidRDefault="00E732F3" w:rsidP="00E732F3">
      <w:pPr>
        <w:ind w:firstLine="720"/>
        <w:jc w:val="both"/>
        <w:rPr>
          <w:rFonts w:eastAsia="Calibri" w:cs="Times New Roman"/>
          <w:color w:val="auto"/>
        </w:rPr>
      </w:pPr>
      <w:r w:rsidRPr="00E732F3">
        <w:rPr>
          <w:rFonts w:eastAsia="Calibri" w:cs="Times New Roman"/>
          <w:color w:val="auto"/>
        </w:rPr>
        <w:t>(g) "Conduct" means to direct the actual playing of a bingo game by activities including, but not limited to, handing out bingo cards, collecting fees, drawing the numbers, announcing the numbers, posting the numbers, verifying winners, and awarding prizes.</w:t>
      </w:r>
    </w:p>
    <w:p w14:paraId="0C3172F8" w14:textId="77777777" w:rsidR="00E732F3" w:rsidRPr="00E732F3" w:rsidRDefault="00E732F3" w:rsidP="00E732F3">
      <w:pPr>
        <w:ind w:firstLine="720"/>
        <w:jc w:val="both"/>
        <w:rPr>
          <w:rFonts w:eastAsia="Calibri" w:cs="Times New Roman"/>
          <w:color w:val="auto"/>
        </w:rPr>
      </w:pPr>
      <w:r w:rsidRPr="00E732F3">
        <w:rPr>
          <w:rFonts w:eastAsia="Calibri" w:cs="Times New Roman"/>
          <w:color w:val="auto"/>
        </w:rPr>
        <w:t>(h) "Expend net proceeds for charitable or public service purposes" means to devote the net proceeds of a bingo occasion or occasions to a qualified recipient organization or as otherwise provided by this article and approved by the commissioner pursuant to §47-20-15 of this code.</w:t>
      </w:r>
    </w:p>
    <w:p w14:paraId="601441CC" w14:textId="342F8264" w:rsidR="00E732F3" w:rsidRPr="00E732F3" w:rsidRDefault="00E732F3" w:rsidP="00E732F3">
      <w:pPr>
        <w:ind w:firstLine="720"/>
        <w:jc w:val="both"/>
        <w:rPr>
          <w:rFonts w:eastAsia="Calibri" w:cs="Times New Roman"/>
          <w:color w:val="auto"/>
        </w:rPr>
      </w:pPr>
      <w:r w:rsidRPr="00E732F3">
        <w:rPr>
          <w:rFonts w:eastAsia="Calibri" w:cs="Times New Roman"/>
          <w:color w:val="auto"/>
        </w:rPr>
        <w:t>(i) "Gross proceeds" means all moneys collected or received from the conduct of bingo at all bingo occasions held by a licensee during a license period; this term does not include any moneys collected or received from the sale of concessions at bingo occasions.</w:t>
      </w:r>
    </w:p>
    <w:p w14:paraId="042D27AC" w14:textId="77777777" w:rsidR="00E732F3" w:rsidRPr="00E732F3" w:rsidRDefault="00E732F3" w:rsidP="00E732F3">
      <w:pPr>
        <w:ind w:firstLine="720"/>
        <w:jc w:val="both"/>
        <w:rPr>
          <w:rFonts w:eastAsia="Calibri" w:cs="Times New Roman"/>
          <w:color w:val="auto"/>
        </w:rPr>
      </w:pPr>
      <w:r w:rsidRPr="00E732F3">
        <w:rPr>
          <w:rFonts w:eastAsia="Calibri" w:cs="Times New Roman"/>
          <w:color w:val="auto"/>
        </w:rPr>
        <w:t>(j) "Joint bingo occasion" means a single gathering or session at which a series of one or more successive bingo games is conducted by two or more licensees.</w:t>
      </w:r>
    </w:p>
    <w:p w14:paraId="5357AEED" w14:textId="77777777" w:rsidR="00E732F3" w:rsidRPr="00E732F3" w:rsidRDefault="00E732F3" w:rsidP="00E732F3">
      <w:pPr>
        <w:ind w:firstLine="720"/>
        <w:jc w:val="both"/>
        <w:rPr>
          <w:rFonts w:eastAsia="Calibri" w:cs="Times New Roman"/>
          <w:color w:val="auto"/>
        </w:rPr>
      </w:pPr>
      <w:r w:rsidRPr="00E732F3">
        <w:rPr>
          <w:rFonts w:eastAsia="Calibri" w:cs="Times New Roman"/>
          <w:color w:val="auto"/>
        </w:rPr>
        <w:t>(k) "Licensee" means any organization or association granted an annual, limited occasion, or state fair bingo license pursuant to the provisions of this article.</w:t>
      </w:r>
    </w:p>
    <w:p w14:paraId="65DE91D6" w14:textId="1DA9F2B9" w:rsidR="00E732F3" w:rsidRPr="00E732F3" w:rsidRDefault="00E732F3" w:rsidP="00E732F3">
      <w:pPr>
        <w:ind w:firstLine="720"/>
        <w:jc w:val="both"/>
        <w:rPr>
          <w:rFonts w:eastAsia="Calibri" w:cs="Times New Roman"/>
          <w:color w:val="auto"/>
        </w:rPr>
      </w:pPr>
      <w:r w:rsidRPr="00E732F3">
        <w:rPr>
          <w:rFonts w:eastAsia="Calibri" w:cs="Times New Roman"/>
          <w:color w:val="auto"/>
        </w:rPr>
        <w:t>(l) "Net proceeds" means all moneys collected or received from all the conduct of bingo at bingo occasions held by a licensee during a license period after payment of expenses authorized by §47-20-10, §47-20-13, §47-20-15, and §47-20-22 of this code; this term does not include moneys collected or received from the sale of concessions at bingo occasions.</w:t>
      </w:r>
    </w:p>
    <w:p w14:paraId="268DB37B" w14:textId="77777777" w:rsidR="00E732F3" w:rsidRPr="00E732F3" w:rsidRDefault="00E732F3" w:rsidP="00E732F3">
      <w:pPr>
        <w:ind w:firstLine="720"/>
        <w:jc w:val="both"/>
        <w:rPr>
          <w:rFonts w:eastAsia="Calibri" w:cs="Times New Roman"/>
          <w:color w:val="auto"/>
        </w:rPr>
      </w:pPr>
      <w:r w:rsidRPr="00E732F3">
        <w:rPr>
          <w:rFonts w:eastAsia="Calibri" w:cs="Times New Roman"/>
          <w:color w:val="auto"/>
        </w:rPr>
        <w:t>(m) "Person" means any individual, association, society, incorporated or unincorporated organization, firm, partnership, or other nongovernmental entity or institution.</w:t>
      </w:r>
    </w:p>
    <w:p w14:paraId="252B4F60" w14:textId="77777777" w:rsidR="00E732F3" w:rsidRPr="00E732F3" w:rsidRDefault="00E732F3" w:rsidP="00E732F3">
      <w:pPr>
        <w:ind w:firstLine="720"/>
        <w:jc w:val="both"/>
        <w:rPr>
          <w:rFonts w:eastAsia="Calibri" w:cs="Times New Roman"/>
          <w:color w:val="auto"/>
        </w:rPr>
      </w:pPr>
      <w:r w:rsidRPr="00E732F3">
        <w:rPr>
          <w:rFonts w:eastAsia="Calibri" w:cs="Times New Roman"/>
          <w:color w:val="auto"/>
        </w:rPr>
        <w:t>(n) "Patron" means any individual who attends a bingo occasion other than an individual who is participating in the conduct of the occasion or in the operation of any concession, whether or not the individual is charged an entrance fee or plays any bingo games.</w:t>
      </w:r>
    </w:p>
    <w:p w14:paraId="0990D99D" w14:textId="77777777" w:rsidR="00E732F3" w:rsidRPr="00E732F3" w:rsidRDefault="00E732F3" w:rsidP="00E732F3">
      <w:pPr>
        <w:ind w:firstLine="720"/>
        <w:jc w:val="both"/>
        <w:rPr>
          <w:rFonts w:eastAsia="Calibri" w:cs="Times New Roman"/>
          <w:color w:val="auto"/>
        </w:rPr>
      </w:pPr>
      <w:r w:rsidRPr="00E732F3">
        <w:rPr>
          <w:rFonts w:eastAsia="Calibri" w:cs="Times New Roman"/>
          <w:color w:val="auto"/>
        </w:rPr>
        <w:t>(o) "Qualified recipient organization" means any bona fide, not-for-profit, tax-exempt, as defined in subdivision (d) of this subsection, incorporated or unincorporated association or organization which is organized and functions exclusively to directly benefit a number of people as provided in paragraphs (1) through (7), inclusive, subdivision (c) of this subsection. "Qualified recipient organization" includes, without limitation, any licensee which is organized and functions exclusively as provided in this subdivision.</w:t>
      </w:r>
    </w:p>
    <w:p w14:paraId="03FFA853" w14:textId="77777777" w:rsidR="00BB4E2B" w:rsidRDefault="00E732F3" w:rsidP="00730BB8">
      <w:pPr>
        <w:ind w:firstLine="720"/>
        <w:jc w:val="both"/>
        <w:rPr>
          <w:rFonts w:eastAsia="Calibri" w:cs="Times New Roman"/>
          <w:color w:val="auto"/>
        </w:rPr>
        <w:sectPr w:rsidR="00BB4E2B" w:rsidSect="00DF199D">
          <w:type w:val="continuous"/>
          <w:pgSz w:w="12240" w:h="15840" w:code="1"/>
          <w:pgMar w:top="1440" w:right="1440" w:bottom="1440" w:left="1440" w:header="720" w:footer="720" w:gutter="0"/>
          <w:lnNumType w:countBy="1" w:restart="newSection"/>
          <w:cols w:space="720"/>
          <w:titlePg/>
          <w:docGrid w:linePitch="360"/>
        </w:sectPr>
      </w:pPr>
      <w:r w:rsidRPr="00E732F3">
        <w:rPr>
          <w:rFonts w:eastAsia="Calibri" w:cs="Times New Roman"/>
          <w:color w:val="auto"/>
        </w:rPr>
        <w:t>(p) "Venue" means the location in which bingo occasions are held.</w:t>
      </w:r>
    </w:p>
    <w:p w14:paraId="6692772C" w14:textId="77777777" w:rsidR="00BB4E2B" w:rsidRPr="006239C4" w:rsidRDefault="00BB4E2B" w:rsidP="00BB4E2B">
      <w:pPr>
        <w:pStyle w:val="BlockText"/>
        <w:jc w:val="both"/>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1BF2D1D7" w14:textId="77777777" w:rsidR="00BB4E2B" w:rsidRPr="006239C4" w:rsidRDefault="00BB4E2B" w:rsidP="00BB4E2B">
      <w:pPr>
        <w:spacing w:line="240" w:lineRule="auto"/>
        <w:ind w:left="720" w:right="720"/>
        <w:rPr>
          <w:rFonts w:cs="Arial"/>
        </w:rPr>
      </w:pPr>
    </w:p>
    <w:p w14:paraId="4D68EC70" w14:textId="77777777" w:rsidR="00BB4E2B" w:rsidRPr="006239C4" w:rsidRDefault="00BB4E2B" w:rsidP="00BB4E2B">
      <w:pPr>
        <w:spacing w:line="240" w:lineRule="auto"/>
        <w:ind w:left="720" w:right="720"/>
        <w:rPr>
          <w:rFonts w:cs="Arial"/>
        </w:rPr>
      </w:pPr>
    </w:p>
    <w:p w14:paraId="4D435B87" w14:textId="77777777" w:rsidR="00BB4E2B" w:rsidRPr="006239C4" w:rsidRDefault="00BB4E2B" w:rsidP="00BB4E2B">
      <w:pPr>
        <w:autoSpaceDE w:val="0"/>
        <w:autoSpaceDN w:val="0"/>
        <w:adjustRightInd w:val="0"/>
        <w:spacing w:line="240" w:lineRule="auto"/>
        <w:ind w:left="720" w:right="720"/>
        <w:rPr>
          <w:rFonts w:cs="Arial"/>
        </w:rPr>
      </w:pPr>
      <w:r w:rsidRPr="006239C4">
        <w:rPr>
          <w:rFonts w:cs="Arial"/>
        </w:rPr>
        <w:t>...............................................................</w:t>
      </w:r>
    </w:p>
    <w:p w14:paraId="2C1B37E4" w14:textId="77777777" w:rsidR="00BB4E2B" w:rsidRPr="006239C4" w:rsidRDefault="00BB4E2B" w:rsidP="00BB4E2B">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B3BE43F" w14:textId="77777777" w:rsidR="00BB4E2B" w:rsidRPr="006239C4" w:rsidRDefault="00BB4E2B" w:rsidP="00BB4E2B">
      <w:pPr>
        <w:autoSpaceDE w:val="0"/>
        <w:autoSpaceDN w:val="0"/>
        <w:adjustRightInd w:val="0"/>
        <w:spacing w:line="240" w:lineRule="auto"/>
        <w:ind w:left="720" w:right="720"/>
        <w:rPr>
          <w:rFonts w:cs="Arial"/>
        </w:rPr>
      </w:pPr>
    </w:p>
    <w:p w14:paraId="33B00421" w14:textId="77777777" w:rsidR="00BB4E2B" w:rsidRPr="006239C4" w:rsidRDefault="00BB4E2B" w:rsidP="00BB4E2B">
      <w:pPr>
        <w:autoSpaceDE w:val="0"/>
        <w:autoSpaceDN w:val="0"/>
        <w:adjustRightInd w:val="0"/>
        <w:spacing w:line="240" w:lineRule="auto"/>
        <w:ind w:left="720" w:right="720"/>
        <w:rPr>
          <w:rFonts w:cs="Arial"/>
        </w:rPr>
      </w:pPr>
    </w:p>
    <w:p w14:paraId="029B2528" w14:textId="77777777" w:rsidR="00BB4E2B" w:rsidRPr="006239C4" w:rsidRDefault="00BB4E2B" w:rsidP="00BB4E2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4ED27BB" w14:textId="77777777" w:rsidR="00BB4E2B" w:rsidRPr="006239C4" w:rsidRDefault="00BB4E2B" w:rsidP="00BB4E2B">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919ED40" w14:textId="77777777" w:rsidR="00BB4E2B" w:rsidRPr="006239C4" w:rsidRDefault="00BB4E2B" w:rsidP="00BB4E2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2AFA990" w14:textId="77777777" w:rsidR="00BB4E2B" w:rsidRPr="006239C4" w:rsidRDefault="00BB4E2B" w:rsidP="00BB4E2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808AFB6" w14:textId="77777777" w:rsidR="00BB4E2B" w:rsidRDefault="00BB4E2B" w:rsidP="00BB4E2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049AE04" w14:textId="77777777" w:rsidR="00BB4E2B" w:rsidRPr="006239C4" w:rsidRDefault="00BB4E2B" w:rsidP="00BB4E2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75A57B35" w14:textId="77777777" w:rsidR="00BB4E2B" w:rsidRPr="006239C4" w:rsidRDefault="00BB4E2B" w:rsidP="00BB4E2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874A374" w14:textId="77777777" w:rsidR="00BB4E2B" w:rsidRPr="006239C4" w:rsidRDefault="00BB4E2B" w:rsidP="00BB4E2B">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5DAF7513" w14:textId="77777777" w:rsidR="00BB4E2B" w:rsidRPr="006239C4" w:rsidRDefault="00BB4E2B" w:rsidP="00BB4E2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F2B553C" w14:textId="77777777" w:rsidR="00BB4E2B" w:rsidRPr="006239C4" w:rsidRDefault="00BB4E2B" w:rsidP="00BB4E2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C71B7E3" w14:textId="77777777" w:rsidR="00BB4E2B" w:rsidRPr="006239C4" w:rsidRDefault="00BB4E2B" w:rsidP="00BB4E2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1A8582F" w14:textId="77777777" w:rsidR="00BB4E2B" w:rsidRPr="006239C4" w:rsidRDefault="00BB4E2B" w:rsidP="00BB4E2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24BB8F2" w14:textId="77777777" w:rsidR="00BB4E2B" w:rsidRPr="006239C4" w:rsidRDefault="00BB4E2B" w:rsidP="00BB4E2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E030CC2" w14:textId="77777777" w:rsidR="00BB4E2B" w:rsidRPr="006239C4" w:rsidRDefault="00BB4E2B" w:rsidP="00BB4E2B">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60D3716" w14:textId="77777777" w:rsidR="00BB4E2B" w:rsidRPr="006239C4" w:rsidRDefault="00BB4E2B" w:rsidP="00BB4E2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406FAD8" w14:textId="77777777" w:rsidR="00BB4E2B" w:rsidRPr="006239C4" w:rsidRDefault="00BB4E2B" w:rsidP="00BB4E2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AD1FE9E" w14:textId="77777777" w:rsidR="00BB4E2B" w:rsidRPr="006239C4" w:rsidRDefault="00BB4E2B" w:rsidP="00BB4E2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521DE8D" w14:textId="77777777" w:rsidR="00BB4E2B" w:rsidRPr="006239C4" w:rsidRDefault="00BB4E2B" w:rsidP="00BB4E2B">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F63711B" w14:textId="77777777" w:rsidR="00BB4E2B" w:rsidRPr="006239C4" w:rsidRDefault="00BB4E2B" w:rsidP="00BB4E2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4F70741" w14:textId="77777777" w:rsidR="00BB4E2B" w:rsidRPr="006239C4" w:rsidRDefault="00BB4E2B" w:rsidP="00BB4E2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3DE186A" w14:textId="77777777" w:rsidR="00BB4E2B" w:rsidRPr="006239C4" w:rsidRDefault="00BB4E2B" w:rsidP="00BB4E2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A5B5F24" w14:textId="77777777" w:rsidR="00BB4E2B" w:rsidRPr="006239C4" w:rsidRDefault="00BB4E2B" w:rsidP="00BB4E2B">
      <w:pPr>
        <w:autoSpaceDE w:val="0"/>
        <w:autoSpaceDN w:val="0"/>
        <w:adjustRightInd w:val="0"/>
        <w:spacing w:line="240" w:lineRule="auto"/>
        <w:ind w:right="720"/>
        <w:jc w:val="both"/>
        <w:rPr>
          <w:rFonts w:cs="Arial"/>
        </w:rPr>
      </w:pPr>
    </w:p>
    <w:p w14:paraId="1E5DD09B" w14:textId="77777777" w:rsidR="00BB4E2B" w:rsidRPr="006239C4" w:rsidRDefault="00BB4E2B" w:rsidP="00BB4E2B">
      <w:pPr>
        <w:autoSpaceDE w:val="0"/>
        <w:autoSpaceDN w:val="0"/>
        <w:adjustRightInd w:val="0"/>
        <w:spacing w:line="240" w:lineRule="auto"/>
        <w:ind w:right="720"/>
        <w:jc w:val="both"/>
        <w:rPr>
          <w:rFonts w:cs="Arial"/>
        </w:rPr>
      </w:pPr>
    </w:p>
    <w:p w14:paraId="10188CC6" w14:textId="77777777" w:rsidR="00BB4E2B" w:rsidRPr="006239C4" w:rsidRDefault="00BB4E2B" w:rsidP="00BB4E2B">
      <w:pPr>
        <w:autoSpaceDE w:val="0"/>
        <w:autoSpaceDN w:val="0"/>
        <w:adjustRightInd w:val="0"/>
        <w:spacing w:line="240" w:lineRule="auto"/>
        <w:ind w:left="720" w:right="720"/>
        <w:jc w:val="both"/>
        <w:rPr>
          <w:rFonts w:cs="Arial"/>
        </w:rPr>
      </w:pPr>
    </w:p>
    <w:p w14:paraId="18DD3FD4" w14:textId="77777777" w:rsidR="00BB4E2B" w:rsidRPr="006239C4" w:rsidRDefault="00BB4E2B" w:rsidP="00BB4E2B">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AE66ED2" w14:textId="77777777" w:rsidR="00BB4E2B" w:rsidRPr="006239C4" w:rsidRDefault="00BB4E2B" w:rsidP="00BB4E2B">
      <w:pPr>
        <w:tabs>
          <w:tab w:val="left" w:pos="1080"/>
        </w:tabs>
        <w:autoSpaceDE w:val="0"/>
        <w:autoSpaceDN w:val="0"/>
        <w:adjustRightInd w:val="0"/>
        <w:spacing w:line="240" w:lineRule="auto"/>
        <w:ind w:left="720" w:right="720"/>
        <w:jc w:val="both"/>
        <w:rPr>
          <w:rFonts w:cs="Arial"/>
        </w:rPr>
      </w:pPr>
    </w:p>
    <w:p w14:paraId="75366114" w14:textId="77777777" w:rsidR="00BB4E2B" w:rsidRPr="006239C4" w:rsidRDefault="00BB4E2B" w:rsidP="00BB4E2B">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42372098" w14:textId="77777777" w:rsidR="00BB4E2B" w:rsidRPr="006239C4" w:rsidRDefault="00BB4E2B" w:rsidP="00BB4E2B">
      <w:pPr>
        <w:autoSpaceDE w:val="0"/>
        <w:autoSpaceDN w:val="0"/>
        <w:adjustRightInd w:val="0"/>
        <w:spacing w:line="240" w:lineRule="auto"/>
        <w:ind w:left="720" w:right="720"/>
        <w:jc w:val="both"/>
        <w:rPr>
          <w:rFonts w:cs="Arial"/>
        </w:rPr>
      </w:pPr>
    </w:p>
    <w:p w14:paraId="57EA4973" w14:textId="77777777" w:rsidR="00BB4E2B" w:rsidRPr="006239C4" w:rsidRDefault="00BB4E2B" w:rsidP="00BB4E2B">
      <w:pPr>
        <w:autoSpaceDE w:val="0"/>
        <w:autoSpaceDN w:val="0"/>
        <w:adjustRightInd w:val="0"/>
        <w:spacing w:line="240" w:lineRule="auto"/>
        <w:ind w:left="720" w:right="720"/>
        <w:jc w:val="both"/>
        <w:rPr>
          <w:rFonts w:cs="Arial"/>
        </w:rPr>
      </w:pPr>
    </w:p>
    <w:p w14:paraId="52109FA3" w14:textId="77777777" w:rsidR="00BB4E2B" w:rsidRPr="006239C4" w:rsidRDefault="00BB4E2B" w:rsidP="00BB4E2B">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2C90867" w14:textId="77777777" w:rsidR="00BB4E2B" w:rsidRDefault="00BB4E2B" w:rsidP="00BB4E2B">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3256A5D1" w14:textId="7684CE31" w:rsidR="006865E9" w:rsidRPr="00E732F3" w:rsidRDefault="006865E9" w:rsidP="00730BB8">
      <w:pPr>
        <w:ind w:firstLine="720"/>
        <w:jc w:val="both"/>
        <w:rPr>
          <w:color w:val="auto"/>
        </w:rPr>
      </w:pPr>
    </w:p>
    <w:sectPr w:rsidR="006865E9" w:rsidRPr="00E732F3" w:rsidSect="00BB4E2B">
      <w:headerReference w:type="even" r:id="rId14"/>
      <w:footerReference w:type="even"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DAD1" w14:textId="77777777" w:rsidR="00D1620E" w:rsidRPr="00B844FE" w:rsidRDefault="00D1620E" w:rsidP="00B844FE">
      <w:r>
        <w:separator/>
      </w:r>
    </w:p>
  </w:endnote>
  <w:endnote w:type="continuationSeparator" w:id="0">
    <w:p w14:paraId="0AA2FB1F" w14:textId="77777777" w:rsidR="00D1620E" w:rsidRPr="00B844FE" w:rsidRDefault="00D1620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779137"/>
      <w:docPartObj>
        <w:docPartGallery w:val="Page Numbers (Bottom of Page)"/>
        <w:docPartUnique/>
      </w:docPartObj>
    </w:sdtPr>
    <w:sdtEndPr/>
    <w:sdtContent>
      <w:p w14:paraId="73A4109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81CB2E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295522"/>
      <w:docPartObj>
        <w:docPartGallery w:val="Page Numbers (Bottom of Page)"/>
        <w:docPartUnique/>
      </w:docPartObj>
    </w:sdtPr>
    <w:sdtEndPr>
      <w:rPr>
        <w:noProof/>
      </w:rPr>
    </w:sdtEndPr>
    <w:sdtContent>
      <w:p w14:paraId="4088761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FD8D0" w14:textId="77777777" w:rsidR="00E732F3" w:rsidRDefault="00E732F3" w:rsidP="00027EB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C2D765C" w14:textId="77777777" w:rsidR="00E732F3" w:rsidRDefault="00E732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07969" w14:textId="77777777" w:rsidR="00BB4E2B" w:rsidRDefault="00BB4E2B"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06EA403" w14:textId="77777777" w:rsidR="00BB4E2B" w:rsidRPr="00775992" w:rsidRDefault="00BB4E2B"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40EFA" w14:textId="77777777" w:rsidR="00D1620E" w:rsidRPr="00B844FE" w:rsidRDefault="00D1620E" w:rsidP="00B844FE">
      <w:r>
        <w:separator/>
      </w:r>
    </w:p>
  </w:footnote>
  <w:footnote w:type="continuationSeparator" w:id="0">
    <w:p w14:paraId="2C0BBAE2" w14:textId="77777777" w:rsidR="00D1620E" w:rsidRPr="00B844FE" w:rsidRDefault="00D1620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4C48A" w14:textId="2CFBF301" w:rsidR="002A0269" w:rsidRPr="00B844FE" w:rsidRDefault="0071488B">
    <w:pPr>
      <w:pStyle w:val="Header"/>
    </w:pPr>
    <w:sdt>
      <w:sdtPr>
        <w:id w:val="-684364211"/>
        <w:placeholder>
          <w:docPart w:val="4A0AA89AA86C4257B9162360A5725CD6"/>
        </w:placeholder>
        <w:temporary/>
        <w:showingPlcHdr/>
        <w15:appearance w15:val="hidden"/>
      </w:sdtPr>
      <w:sdtEndPr/>
      <w:sdtContent>
        <w:r w:rsidR="00BF6F90" w:rsidRPr="00B844FE">
          <w:t>[Type here]</w:t>
        </w:r>
      </w:sdtContent>
    </w:sdt>
    <w:r w:rsidR="002A0269" w:rsidRPr="00B844FE">
      <w:ptab w:relativeTo="margin" w:alignment="left" w:leader="none"/>
    </w:r>
    <w:sdt>
      <w:sdtPr>
        <w:id w:val="-556240388"/>
        <w:placeholder>
          <w:docPart w:val="4A0AA89AA86C4257B9162360A5725CD6"/>
        </w:placeholder>
        <w:temporary/>
        <w:showingPlcHdr/>
        <w15:appearance w15:val="hidden"/>
      </w:sdtPr>
      <w:sdtEndPr/>
      <w:sdtContent>
        <w:r w:rsidR="00BF6F9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125B" w14:textId="5322C5A9" w:rsidR="00E831B3" w:rsidRPr="00BF6F90" w:rsidRDefault="00BF6F90" w:rsidP="00BF6F90">
    <w:pPr>
      <w:pStyle w:val="Header"/>
    </w:pPr>
    <w:r>
      <w:t>Enr HB 2511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3E2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44F9A" w14:textId="77777777" w:rsidR="00BB4E2B" w:rsidRPr="00775992" w:rsidRDefault="00BB4E2B"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0E"/>
    <w:rsid w:val="0000526A"/>
    <w:rsid w:val="000573A9"/>
    <w:rsid w:val="00085D22"/>
    <w:rsid w:val="00093AB0"/>
    <w:rsid w:val="000A7F8E"/>
    <w:rsid w:val="000C5C77"/>
    <w:rsid w:val="000E001C"/>
    <w:rsid w:val="000E3912"/>
    <w:rsid w:val="000E4573"/>
    <w:rsid w:val="0010070F"/>
    <w:rsid w:val="00126E51"/>
    <w:rsid w:val="0015112E"/>
    <w:rsid w:val="00152E0E"/>
    <w:rsid w:val="001552E7"/>
    <w:rsid w:val="001566B4"/>
    <w:rsid w:val="001A66B7"/>
    <w:rsid w:val="001C279E"/>
    <w:rsid w:val="001D459E"/>
    <w:rsid w:val="001D49B0"/>
    <w:rsid w:val="0022348D"/>
    <w:rsid w:val="0027011C"/>
    <w:rsid w:val="00274200"/>
    <w:rsid w:val="00275740"/>
    <w:rsid w:val="00287D30"/>
    <w:rsid w:val="002A0269"/>
    <w:rsid w:val="002D5A59"/>
    <w:rsid w:val="002D7049"/>
    <w:rsid w:val="00303684"/>
    <w:rsid w:val="003143F5"/>
    <w:rsid w:val="00314854"/>
    <w:rsid w:val="00321BA6"/>
    <w:rsid w:val="00394191"/>
    <w:rsid w:val="003A2270"/>
    <w:rsid w:val="003C51CD"/>
    <w:rsid w:val="003C6034"/>
    <w:rsid w:val="00400B5C"/>
    <w:rsid w:val="004368E0"/>
    <w:rsid w:val="0043776C"/>
    <w:rsid w:val="00461B60"/>
    <w:rsid w:val="004A2762"/>
    <w:rsid w:val="004C13DD"/>
    <w:rsid w:val="004D3ABE"/>
    <w:rsid w:val="004E3441"/>
    <w:rsid w:val="004E3ED3"/>
    <w:rsid w:val="00500579"/>
    <w:rsid w:val="00563A4D"/>
    <w:rsid w:val="005A5366"/>
    <w:rsid w:val="006369EB"/>
    <w:rsid w:val="00637E73"/>
    <w:rsid w:val="006865E9"/>
    <w:rsid w:val="00686E9A"/>
    <w:rsid w:val="00691F3E"/>
    <w:rsid w:val="00694BFB"/>
    <w:rsid w:val="006A106B"/>
    <w:rsid w:val="006C523D"/>
    <w:rsid w:val="006D4036"/>
    <w:rsid w:val="006E08BF"/>
    <w:rsid w:val="00730BB8"/>
    <w:rsid w:val="007A5259"/>
    <w:rsid w:val="007A7081"/>
    <w:rsid w:val="007B05CD"/>
    <w:rsid w:val="007C68A9"/>
    <w:rsid w:val="007F1CF5"/>
    <w:rsid w:val="008005A3"/>
    <w:rsid w:val="00834EDE"/>
    <w:rsid w:val="008736AA"/>
    <w:rsid w:val="00892DCA"/>
    <w:rsid w:val="008D275D"/>
    <w:rsid w:val="008F4130"/>
    <w:rsid w:val="0090413B"/>
    <w:rsid w:val="009444F5"/>
    <w:rsid w:val="00946186"/>
    <w:rsid w:val="00980327"/>
    <w:rsid w:val="00986478"/>
    <w:rsid w:val="009B5557"/>
    <w:rsid w:val="009C5922"/>
    <w:rsid w:val="009F1067"/>
    <w:rsid w:val="00A31E01"/>
    <w:rsid w:val="00A527AD"/>
    <w:rsid w:val="00A718CF"/>
    <w:rsid w:val="00AA16AE"/>
    <w:rsid w:val="00AE48A0"/>
    <w:rsid w:val="00AE5485"/>
    <w:rsid w:val="00AE61BE"/>
    <w:rsid w:val="00B16F25"/>
    <w:rsid w:val="00B24422"/>
    <w:rsid w:val="00B66B81"/>
    <w:rsid w:val="00B71E6F"/>
    <w:rsid w:val="00B72020"/>
    <w:rsid w:val="00B80C20"/>
    <w:rsid w:val="00B844FE"/>
    <w:rsid w:val="00B86B4F"/>
    <w:rsid w:val="00BA1F84"/>
    <w:rsid w:val="00BB4E2B"/>
    <w:rsid w:val="00BC562B"/>
    <w:rsid w:val="00BF6812"/>
    <w:rsid w:val="00BF6F90"/>
    <w:rsid w:val="00C33014"/>
    <w:rsid w:val="00C33434"/>
    <w:rsid w:val="00C34869"/>
    <w:rsid w:val="00C42EB6"/>
    <w:rsid w:val="00C62327"/>
    <w:rsid w:val="00C66569"/>
    <w:rsid w:val="00C85096"/>
    <w:rsid w:val="00CB20EF"/>
    <w:rsid w:val="00CC1F3B"/>
    <w:rsid w:val="00CD12CB"/>
    <w:rsid w:val="00CD36CF"/>
    <w:rsid w:val="00CF1DCA"/>
    <w:rsid w:val="00D1620E"/>
    <w:rsid w:val="00D33179"/>
    <w:rsid w:val="00D579FC"/>
    <w:rsid w:val="00D81C16"/>
    <w:rsid w:val="00DE526B"/>
    <w:rsid w:val="00DF199D"/>
    <w:rsid w:val="00DF4B38"/>
    <w:rsid w:val="00E01542"/>
    <w:rsid w:val="00E365F1"/>
    <w:rsid w:val="00E62F48"/>
    <w:rsid w:val="00E732F3"/>
    <w:rsid w:val="00E831B3"/>
    <w:rsid w:val="00E95FBC"/>
    <w:rsid w:val="00EC5E63"/>
    <w:rsid w:val="00EE70CB"/>
    <w:rsid w:val="00F36D2F"/>
    <w:rsid w:val="00F41CA2"/>
    <w:rsid w:val="00F443C0"/>
    <w:rsid w:val="00F62EFB"/>
    <w:rsid w:val="00F939A4"/>
    <w:rsid w:val="00FA7B09"/>
    <w:rsid w:val="00FD5B51"/>
    <w:rsid w:val="00FE067E"/>
    <w:rsid w:val="00FE1418"/>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9D65A"/>
  <w15:chartTrackingRefBased/>
  <w15:docId w15:val="{7231C3A0-60AE-4BEF-BCBC-6DB993C8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D1620E"/>
    <w:rPr>
      <w:rFonts w:eastAsia="Calibri"/>
      <w:b/>
      <w:caps/>
      <w:color w:val="000000"/>
      <w:sz w:val="28"/>
    </w:rPr>
  </w:style>
  <w:style w:type="character" w:customStyle="1" w:styleId="ArticleHeadingChar">
    <w:name w:val="Article Heading Char"/>
    <w:link w:val="ArticleHeading"/>
    <w:rsid w:val="00D1620E"/>
    <w:rPr>
      <w:rFonts w:eastAsia="Calibri"/>
      <w:b/>
      <w:caps/>
      <w:color w:val="000000"/>
      <w:sz w:val="24"/>
    </w:rPr>
  </w:style>
  <w:style w:type="character" w:customStyle="1" w:styleId="SectionBodyChar">
    <w:name w:val="Section Body Char"/>
    <w:link w:val="SectionBody"/>
    <w:rsid w:val="00D1620E"/>
    <w:rPr>
      <w:rFonts w:eastAsia="Calibri"/>
      <w:color w:val="000000"/>
    </w:rPr>
  </w:style>
  <w:style w:type="character" w:styleId="PageNumber">
    <w:name w:val="page number"/>
    <w:basedOn w:val="DefaultParagraphFont"/>
    <w:uiPriority w:val="99"/>
    <w:semiHidden/>
    <w:unhideWhenUsed/>
    <w:locked/>
    <w:rsid w:val="00E732F3"/>
  </w:style>
  <w:style w:type="paragraph" w:styleId="BlockText">
    <w:name w:val="Block Text"/>
    <w:basedOn w:val="Normal"/>
    <w:uiPriority w:val="99"/>
    <w:semiHidden/>
    <w:locked/>
    <w:rsid w:val="00BB4E2B"/>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D1090B7A42C43709526EFDE9E8D3607"/>
        <w:category>
          <w:name w:val="General"/>
          <w:gallery w:val="placeholder"/>
        </w:category>
        <w:types>
          <w:type w:val="bbPlcHdr"/>
        </w:types>
        <w:behaviors>
          <w:behavior w:val="content"/>
        </w:behaviors>
        <w:guid w:val="{6FE87E39-EB64-4845-BE5E-91DC51F4234B}"/>
      </w:docPartPr>
      <w:docPartBody>
        <w:p w:rsidR="00E36FF6" w:rsidRDefault="00E36FF6">
          <w:pPr>
            <w:pStyle w:val="AD1090B7A42C43709526EFDE9E8D3607"/>
          </w:pPr>
          <w:r w:rsidRPr="00B844FE">
            <w:t>Prefix Text</w:t>
          </w:r>
        </w:p>
      </w:docPartBody>
    </w:docPart>
    <w:docPart>
      <w:docPartPr>
        <w:name w:val="4A0AA89AA86C4257B9162360A5725CD6"/>
        <w:category>
          <w:name w:val="General"/>
          <w:gallery w:val="placeholder"/>
        </w:category>
        <w:types>
          <w:type w:val="bbPlcHdr"/>
        </w:types>
        <w:behaviors>
          <w:behavior w:val="content"/>
        </w:behaviors>
        <w:guid w:val="{9E879031-38AE-41D9-989E-6FD923404B68}"/>
      </w:docPartPr>
      <w:docPartBody>
        <w:p w:rsidR="00E36FF6" w:rsidRDefault="004D0E39">
          <w:pPr>
            <w:pStyle w:val="4A0AA89AA86C4257B9162360A5725CD6"/>
          </w:pPr>
          <w:r w:rsidRPr="00B844FE">
            <w:t>[Type here]</w:t>
          </w:r>
        </w:p>
      </w:docPartBody>
    </w:docPart>
    <w:docPart>
      <w:docPartPr>
        <w:name w:val="3FA9F97D9C1249078EAE6A7F9285E51C"/>
        <w:category>
          <w:name w:val="General"/>
          <w:gallery w:val="placeholder"/>
        </w:category>
        <w:types>
          <w:type w:val="bbPlcHdr"/>
        </w:types>
        <w:behaviors>
          <w:behavior w:val="content"/>
        </w:behaviors>
        <w:guid w:val="{1F3B565F-5CF8-4301-AC8C-F018F4285762}"/>
      </w:docPartPr>
      <w:docPartBody>
        <w:p w:rsidR="00E36FF6" w:rsidRDefault="00E36FF6">
          <w:pPr>
            <w:pStyle w:val="3FA9F97D9C1249078EAE6A7F9285E51C"/>
          </w:pPr>
          <w:r w:rsidRPr="00B844FE">
            <w:t>Number</w:t>
          </w:r>
        </w:p>
      </w:docPartBody>
    </w:docPart>
    <w:docPart>
      <w:docPartPr>
        <w:name w:val="C7F9F848F6BE4348A1679D6E0880B68A"/>
        <w:category>
          <w:name w:val="General"/>
          <w:gallery w:val="placeholder"/>
        </w:category>
        <w:types>
          <w:type w:val="bbPlcHdr"/>
        </w:types>
        <w:behaviors>
          <w:behavior w:val="content"/>
        </w:behaviors>
        <w:guid w:val="{D87ADF1A-57F6-4034-8644-F216ABF8952C}"/>
      </w:docPartPr>
      <w:docPartBody>
        <w:p w:rsidR="00E36FF6" w:rsidRDefault="00E36FF6">
          <w:pPr>
            <w:pStyle w:val="C7F9F848F6BE4348A1679D6E0880B68A"/>
          </w:pPr>
          <w:r w:rsidRPr="00B844FE">
            <w:t>Enter Sponsors Here</w:t>
          </w:r>
        </w:p>
      </w:docPartBody>
    </w:docPart>
    <w:docPart>
      <w:docPartPr>
        <w:name w:val="D749C819F5774727BB3974E11A11C7DA"/>
        <w:category>
          <w:name w:val="General"/>
          <w:gallery w:val="placeholder"/>
        </w:category>
        <w:types>
          <w:type w:val="bbPlcHdr"/>
        </w:types>
        <w:behaviors>
          <w:behavior w:val="content"/>
        </w:behaviors>
        <w:guid w:val="{99463D03-90CC-4820-ADE4-C9F41C44A4FB}"/>
      </w:docPartPr>
      <w:docPartBody>
        <w:p w:rsidR="00E36FF6" w:rsidRDefault="00E36FF6">
          <w:pPr>
            <w:pStyle w:val="D749C819F5774727BB3974E11A11C7D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FF6"/>
    <w:rsid w:val="000E001C"/>
    <w:rsid w:val="000E4573"/>
    <w:rsid w:val="00126E51"/>
    <w:rsid w:val="001D49B0"/>
    <w:rsid w:val="00287D30"/>
    <w:rsid w:val="00321BA6"/>
    <w:rsid w:val="004D0E39"/>
    <w:rsid w:val="0090413B"/>
    <w:rsid w:val="00BF6812"/>
    <w:rsid w:val="00D33179"/>
    <w:rsid w:val="00E36FF6"/>
    <w:rsid w:val="00F36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1090B7A42C43709526EFDE9E8D3607">
    <w:name w:val="AD1090B7A42C43709526EFDE9E8D3607"/>
  </w:style>
  <w:style w:type="paragraph" w:customStyle="1" w:styleId="4A0AA89AA86C4257B9162360A5725CD6">
    <w:name w:val="4A0AA89AA86C4257B9162360A5725CD6"/>
  </w:style>
  <w:style w:type="paragraph" w:customStyle="1" w:styleId="3FA9F97D9C1249078EAE6A7F9285E51C">
    <w:name w:val="3FA9F97D9C1249078EAE6A7F9285E51C"/>
  </w:style>
  <w:style w:type="paragraph" w:customStyle="1" w:styleId="C7F9F848F6BE4348A1679D6E0880B68A">
    <w:name w:val="C7F9F848F6BE4348A1679D6E0880B68A"/>
  </w:style>
  <w:style w:type="character" w:styleId="PlaceholderText">
    <w:name w:val="Placeholder Text"/>
    <w:basedOn w:val="DefaultParagraphFont"/>
    <w:uiPriority w:val="99"/>
    <w:semiHidden/>
    <w:rsid w:val="004D0E39"/>
    <w:rPr>
      <w:color w:val="808080"/>
    </w:rPr>
  </w:style>
  <w:style w:type="paragraph" w:customStyle="1" w:styleId="D749C819F5774727BB3974E11A11C7DA">
    <w:name w:val="D749C819F5774727BB3974E11A11C7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7</Pages>
  <Words>1321</Words>
  <Characters>7532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Debra Rayhill</cp:lastModifiedBy>
  <cp:revision>2</cp:revision>
  <cp:lastPrinted>2025-03-04T20:42:00Z</cp:lastPrinted>
  <dcterms:created xsi:type="dcterms:W3CDTF">2025-04-15T13:50:00Z</dcterms:created>
  <dcterms:modified xsi:type="dcterms:W3CDTF">2025-04-15T13:50:00Z</dcterms:modified>
</cp:coreProperties>
</file>